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7CE0" w14:textId="77777777" w:rsidR="00112644" w:rsidRPr="008C2C5A" w:rsidRDefault="00112644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67098EF" w14:textId="77777777" w:rsidR="00A36F9F" w:rsidRPr="008C2C5A" w:rsidRDefault="00A36F9F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2C5A">
        <w:rPr>
          <w:sz w:val="28"/>
          <w:szCs w:val="28"/>
        </w:rPr>
        <w:t>Форма</w:t>
      </w:r>
    </w:p>
    <w:p w14:paraId="68A7D087" w14:textId="77777777"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F7C4BB" w14:textId="77777777"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442ECD0" w14:textId="77777777"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14:paraId="3683A7DA" w14:textId="77777777"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</w:t>
      </w:r>
    </w:p>
    <w:p w14:paraId="73CB2A30" w14:textId="77777777" w:rsidR="00A36F9F" w:rsidRPr="008C2C5A" w:rsidRDefault="00A36F9F" w:rsidP="00A36F9F">
      <w:pPr>
        <w:pStyle w:val="ConsPlusNormal"/>
        <w:jc w:val="both"/>
      </w:pPr>
    </w:p>
    <w:p w14:paraId="541E6507" w14:textId="77777777"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Общие сведения</w:t>
      </w:r>
    </w:p>
    <w:p w14:paraId="2D16A578" w14:textId="77777777" w:rsidR="00A36F9F" w:rsidRPr="008C2C5A" w:rsidRDefault="00A36F9F" w:rsidP="00A36F9F">
      <w:pPr>
        <w:pStyle w:val="ConsPlusNormal"/>
        <w:adjustRightInd/>
        <w:ind w:left="900" w:firstLine="0"/>
        <w:rPr>
          <w:rFonts w:ascii="Times New Roman" w:hAnsi="Times New Roman" w:cs="Times New Roman"/>
          <w:sz w:val="28"/>
          <w:szCs w:val="28"/>
        </w:rPr>
      </w:pPr>
    </w:p>
    <w:p w14:paraId="58D6C3F5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1.1. Наименование органа местного самоуправления.</w:t>
      </w:r>
    </w:p>
    <w:p w14:paraId="42288644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1.2. Наименование ТОС.</w:t>
      </w:r>
    </w:p>
    <w:p w14:paraId="27B3A6A3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1.3. Адрес местонахождения ТОС.</w:t>
      </w:r>
    </w:p>
    <w:p w14:paraId="320C7D14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1.4. Телефон, электронная почта ТОС.</w:t>
      </w:r>
    </w:p>
    <w:p w14:paraId="24273525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1.5. Сведения об органах ТОС (контактный телефон, электронная почта).</w:t>
      </w:r>
    </w:p>
    <w:p w14:paraId="0F2E8DDB" w14:textId="77777777" w:rsidR="00A36F9F" w:rsidRPr="008C2C5A" w:rsidRDefault="00A36F9F" w:rsidP="00A3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04D3FE" w14:textId="77777777"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Сведения о проекте</w:t>
      </w:r>
    </w:p>
    <w:p w14:paraId="3C456B0D" w14:textId="77777777" w:rsidR="00A36F9F" w:rsidRPr="008C2C5A" w:rsidRDefault="00A36F9F" w:rsidP="00816D79">
      <w:pPr>
        <w:pStyle w:val="ConsPlusNormal"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14:paraId="4E2898E7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2.1. Наименование проекта ТОС.</w:t>
      </w:r>
    </w:p>
    <w:p w14:paraId="067EC531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2.2. Период реализации.</w:t>
      </w:r>
    </w:p>
    <w:p w14:paraId="485F9229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2.3. Описание обоснованности и актуальности проблемы, на решение которой направлен проект ТОС.</w:t>
      </w:r>
    </w:p>
    <w:p w14:paraId="157712ED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2.4. Цели проекта ТОС.</w:t>
      </w:r>
    </w:p>
    <w:p w14:paraId="141DD462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2.5. Задачи проекта ТОС.</w:t>
      </w:r>
    </w:p>
    <w:p w14:paraId="5769759D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6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граждан, проживающих в границах ТОС. </w:t>
      </w:r>
    </w:p>
    <w:p w14:paraId="03D1E2DA" w14:textId="77777777"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7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8C2C5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C2C5A">
        <w:rPr>
          <w:rFonts w:ascii="Times New Roman" w:hAnsi="Times New Roman" w:cs="Times New Roman"/>
          <w:sz w:val="28"/>
          <w:szCs w:val="28"/>
        </w:rPr>
        <w:t xml:space="preserve"> от реализации проекта ТОС.</w:t>
      </w:r>
    </w:p>
    <w:p w14:paraId="25F87E5E" w14:textId="77777777" w:rsidR="00A36F9F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8</w:t>
      </w:r>
      <w:r w:rsidRPr="008C2C5A">
        <w:rPr>
          <w:rFonts w:ascii="Times New Roman" w:hAnsi="Times New Roman" w:cs="Times New Roman"/>
          <w:sz w:val="28"/>
          <w:szCs w:val="28"/>
        </w:rPr>
        <w:t>. Ожидаемые результаты реализации проекта ТОС, в том числе социальная эффективность</w:t>
      </w:r>
      <w:r w:rsidRPr="008C2C5A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8C2C5A">
        <w:rPr>
          <w:rFonts w:ascii="Times New Roman" w:hAnsi="Times New Roman" w:cs="Times New Roman"/>
          <w:sz w:val="28"/>
          <w:szCs w:val="28"/>
        </w:rPr>
        <w:t>.</w:t>
      </w:r>
    </w:p>
    <w:p w14:paraId="4914A654" w14:textId="77777777" w:rsidR="00112644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DB79D" w14:textId="77777777" w:rsidR="00112644" w:rsidRPr="008C2C5A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B9C65F" w14:textId="77777777" w:rsidR="00A36F9F" w:rsidRPr="008C2C5A" w:rsidRDefault="00A36F9F" w:rsidP="00A36F9F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9</w:t>
      </w:r>
      <w:r w:rsidRPr="008C2C5A">
        <w:rPr>
          <w:rFonts w:ascii="Times New Roman" w:hAnsi="Times New Roman" w:cs="Times New Roman"/>
          <w:sz w:val="28"/>
          <w:szCs w:val="28"/>
        </w:rPr>
        <w:t>. Календарный план работ по проекту ТОС: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1985"/>
        <w:gridCol w:w="1984"/>
        <w:gridCol w:w="2693"/>
      </w:tblGrid>
      <w:tr w:rsidR="00A36F9F" w:rsidRPr="008C2C5A" w14:paraId="61BC14CA" w14:textId="77777777" w:rsidTr="009F4F61">
        <w:trPr>
          <w:trHeight w:val="773"/>
        </w:trPr>
        <w:tc>
          <w:tcPr>
            <w:tcW w:w="567" w:type="dxa"/>
          </w:tcPr>
          <w:p w14:paraId="1BFBF72A" w14:textId="77777777"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2C45D921" w14:textId="77777777"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985" w:type="dxa"/>
          </w:tcPr>
          <w:p w14:paraId="0EA79CC9" w14:textId="77777777"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14:paraId="4F367DAC" w14:textId="77777777"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3" w:type="dxa"/>
          </w:tcPr>
          <w:p w14:paraId="7880013A" w14:textId="77777777"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их контактные данные и телефоны</w:t>
            </w:r>
          </w:p>
        </w:tc>
      </w:tr>
      <w:tr w:rsidR="00A36F9F" w:rsidRPr="008C2C5A" w14:paraId="1A012056" w14:textId="77777777" w:rsidTr="009F4F61">
        <w:tc>
          <w:tcPr>
            <w:tcW w:w="567" w:type="dxa"/>
          </w:tcPr>
          <w:p w14:paraId="07767A01" w14:textId="77777777" w:rsidR="00A36F9F" w:rsidRPr="008C2C5A" w:rsidRDefault="00112644" w:rsidP="001126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7332C10" w14:textId="77777777"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312E4864" w14:textId="77777777" w:rsidR="00A36F9F" w:rsidRPr="008C2C5A" w:rsidRDefault="00112644" w:rsidP="00112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79BF15A" w14:textId="77777777" w:rsidR="00A36F9F" w:rsidRPr="008C2C5A" w:rsidRDefault="00112644" w:rsidP="0011264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1486FF69" w14:textId="77777777"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F9F" w:rsidRPr="008C2C5A" w14:paraId="717F6609" w14:textId="77777777" w:rsidTr="009F4F61">
        <w:tc>
          <w:tcPr>
            <w:tcW w:w="567" w:type="dxa"/>
          </w:tcPr>
          <w:p w14:paraId="384237C5" w14:textId="77777777" w:rsidR="00A36F9F" w:rsidRPr="008C2C5A" w:rsidRDefault="00A36F9F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6240B4" w14:textId="77777777" w:rsidR="00A36F9F" w:rsidRPr="008C2C5A" w:rsidRDefault="00A36F9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5925D0" w14:textId="77777777"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0C7009" w14:textId="77777777"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32CA16" w14:textId="77777777"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7A6261" w14:textId="77777777" w:rsidR="00182A28" w:rsidRPr="008C2C5A" w:rsidRDefault="00182A28" w:rsidP="0018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2.10. Технология реализация проекта ТОС силами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946"/>
        <w:gridCol w:w="1701"/>
        <w:gridCol w:w="1806"/>
        <w:gridCol w:w="1834"/>
        <w:gridCol w:w="2562"/>
      </w:tblGrid>
      <w:tr w:rsidR="00182A28" w:rsidRPr="008C2C5A" w14:paraId="1C2181FB" w14:textId="77777777" w:rsidTr="00182A28">
        <w:tc>
          <w:tcPr>
            <w:tcW w:w="572" w:type="dxa"/>
          </w:tcPr>
          <w:p w14:paraId="551CFE6D" w14:textId="77777777"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№ п/п</w:t>
            </w:r>
          </w:p>
        </w:tc>
        <w:tc>
          <w:tcPr>
            <w:tcW w:w="1946" w:type="dxa"/>
          </w:tcPr>
          <w:p w14:paraId="5459779C" w14:textId="77777777" w:rsidR="00182A28" w:rsidRPr="008C2C5A" w:rsidRDefault="00182A28" w:rsidP="00182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 xml:space="preserve">Наименование этапа проекта в соответствии с </w:t>
            </w:r>
            <w:r w:rsidRPr="008C2C5A">
              <w:rPr>
                <w:sz w:val="24"/>
                <w:szCs w:val="24"/>
              </w:rPr>
              <w:lastRenderedPageBreak/>
              <w:t>календарным планом</w:t>
            </w:r>
          </w:p>
        </w:tc>
        <w:tc>
          <w:tcPr>
            <w:tcW w:w="1701" w:type="dxa"/>
          </w:tcPr>
          <w:p w14:paraId="074E779D" w14:textId="77777777"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lastRenderedPageBreak/>
              <w:t xml:space="preserve">Количество человек, участвующих </w:t>
            </w:r>
            <w:r w:rsidRPr="008C2C5A">
              <w:rPr>
                <w:sz w:val="24"/>
                <w:szCs w:val="24"/>
              </w:rPr>
              <w:lastRenderedPageBreak/>
              <w:t>в реализации проекта ТОС на данном этапе</w:t>
            </w:r>
          </w:p>
        </w:tc>
        <w:tc>
          <w:tcPr>
            <w:tcW w:w="1806" w:type="dxa"/>
          </w:tcPr>
          <w:p w14:paraId="684F70A3" w14:textId="77777777"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lastRenderedPageBreak/>
              <w:t xml:space="preserve">Ф.И.О. людей, участвующих в реализации </w:t>
            </w:r>
            <w:r w:rsidRPr="008C2C5A">
              <w:rPr>
                <w:sz w:val="24"/>
                <w:szCs w:val="24"/>
              </w:rPr>
              <w:lastRenderedPageBreak/>
              <w:t>проекта ТОС на данном этапе</w:t>
            </w:r>
          </w:p>
        </w:tc>
        <w:tc>
          <w:tcPr>
            <w:tcW w:w="1834" w:type="dxa"/>
          </w:tcPr>
          <w:p w14:paraId="4AA11CAB" w14:textId="77777777"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lastRenderedPageBreak/>
              <w:t>Вид работ (услуг)</w:t>
            </w:r>
          </w:p>
        </w:tc>
        <w:tc>
          <w:tcPr>
            <w:tcW w:w="2562" w:type="dxa"/>
          </w:tcPr>
          <w:p w14:paraId="21D5A4D7" w14:textId="77777777" w:rsidR="00182A28" w:rsidRPr="008C2C5A" w:rsidRDefault="00182A28" w:rsidP="00870A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Расходы на реализацию проекта ТОС в не</w:t>
            </w:r>
            <w:r w:rsidR="00870A12" w:rsidRPr="008C2C5A">
              <w:rPr>
                <w:sz w:val="24"/>
                <w:szCs w:val="24"/>
              </w:rPr>
              <w:t>финансовой</w:t>
            </w:r>
            <w:r w:rsidRPr="008C2C5A">
              <w:rPr>
                <w:sz w:val="24"/>
                <w:szCs w:val="24"/>
              </w:rPr>
              <w:t xml:space="preserve"> </w:t>
            </w:r>
            <w:r w:rsidRPr="008C2C5A">
              <w:rPr>
                <w:sz w:val="24"/>
                <w:szCs w:val="24"/>
              </w:rPr>
              <w:lastRenderedPageBreak/>
              <w:t xml:space="preserve">форме (предоставление </w:t>
            </w:r>
            <w:r w:rsidR="00B66324" w:rsidRPr="008C2C5A">
              <w:rPr>
                <w:sz w:val="24"/>
                <w:szCs w:val="24"/>
              </w:rPr>
              <w:t xml:space="preserve">технических средств, материалов и оборудования) </w:t>
            </w:r>
          </w:p>
        </w:tc>
      </w:tr>
      <w:tr w:rsidR="00112644" w:rsidRPr="008C2C5A" w14:paraId="08843D2C" w14:textId="77777777" w:rsidTr="00182A28">
        <w:tc>
          <w:tcPr>
            <w:tcW w:w="572" w:type="dxa"/>
          </w:tcPr>
          <w:p w14:paraId="4C8444A9" w14:textId="77777777"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6" w:type="dxa"/>
          </w:tcPr>
          <w:p w14:paraId="094AF65E" w14:textId="77777777"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BDA2800" w14:textId="77777777"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14:paraId="1B3D5627" w14:textId="77777777"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14:paraId="1B1EDAF4" w14:textId="77777777"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14:paraId="09C292BE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644" w:rsidRPr="008C2C5A" w14:paraId="320D4410" w14:textId="77777777" w:rsidTr="00182A28">
        <w:tc>
          <w:tcPr>
            <w:tcW w:w="572" w:type="dxa"/>
          </w:tcPr>
          <w:p w14:paraId="542B72A9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21DAA7A5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5E2E25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14:paraId="241D2D0A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0E55AC2E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14:paraId="07BB287F" w14:textId="77777777"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1F8EEEE" w14:textId="77777777" w:rsidR="00A36F9F" w:rsidRPr="008C2C5A" w:rsidRDefault="00A36F9F" w:rsidP="00A36F9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2.11. Финансирование проекта: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954"/>
        <w:gridCol w:w="2360"/>
        <w:gridCol w:w="2505"/>
        <w:gridCol w:w="2579"/>
      </w:tblGrid>
      <w:tr w:rsidR="00AC1533" w:rsidRPr="008C2C5A" w14:paraId="751BB380" w14:textId="77777777" w:rsidTr="000029EF">
        <w:trPr>
          <w:trHeight w:val="773"/>
        </w:trPr>
        <w:tc>
          <w:tcPr>
            <w:tcW w:w="808" w:type="dxa"/>
            <w:vMerge w:val="restart"/>
          </w:tcPr>
          <w:p w14:paraId="05F3077E" w14:textId="77777777" w:rsidR="00AC1533" w:rsidRPr="008C2C5A" w:rsidRDefault="00AC1533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  <w:vMerge w:val="restart"/>
          </w:tcPr>
          <w:p w14:paraId="577316E2" w14:textId="77777777"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5" w:type="dxa"/>
            <w:gridSpan w:val="2"/>
          </w:tcPr>
          <w:p w14:paraId="7541B916" w14:textId="77777777"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2579" w:type="dxa"/>
          </w:tcPr>
          <w:p w14:paraId="75666ACA" w14:textId="77777777"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(рублей)</w:t>
            </w:r>
          </w:p>
        </w:tc>
      </w:tr>
      <w:tr w:rsidR="00AC1533" w:rsidRPr="008C2C5A" w14:paraId="5BEF56C6" w14:textId="77777777" w:rsidTr="000029EF">
        <w:tc>
          <w:tcPr>
            <w:tcW w:w="808" w:type="dxa"/>
            <w:vMerge/>
          </w:tcPr>
          <w:p w14:paraId="42C239E6" w14:textId="77777777" w:rsidR="00AC1533" w:rsidRPr="008C2C5A" w:rsidRDefault="00AC1533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14:paraId="303404E5" w14:textId="77777777" w:rsidR="00AC1533" w:rsidRPr="008C2C5A" w:rsidRDefault="00AC1533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14:paraId="56ACA4F3" w14:textId="77777777" w:rsidR="00AC1533" w:rsidRPr="008C2C5A" w:rsidRDefault="00AC1533" w:rsidP="009F4F61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05" w:type="dxa"/>
          </w:tcPr>
          <w:p w14:paraId="3840DD5D" w14:textId="77777777"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579" w:type="dxa"/>
          </w:tcPr>
          <w:p w14:paraId="2B78FF85" w14:textId="77777777"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44" w:rsidRPr="008C2C5A" w14:paraId="7300D523" w14:textId="77777777" w:rsidTr="000029EF">
        <w:tc>
          <w:tcPr>
            <w:tcW w:w="808" w:type="dxa"/>
          </w:tcPr>
          <w:p w14:paraId="07E0D262" w14:textId="77777777"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14:paraId="56F3B505" w14:textId="77777777"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14:paraId="5E745C3A" w14:textId="77777777"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14:paraId="31030DFD" w14:textId="77777777"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14:paraId="5D3C727C" w14:textId="77777777"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2644" w:rsidRPr="008C2C5A" w14:paraId="4BB9907B" w14:textId="77777777" w:rsidTr="000029EF">
        <w:tc>
          <w:tcPr>
            <w:tcW w:w="808" w:type="dxa"/>
          </w:tcPr>
          <w:p w14:paraId="01FD949B" w14:textId="77777777" w:rsidR="00112644" w:rsidRPr="008C2C5A" w:rsidRDefault="00112644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783ABF91" w14:textId="77777777" w:rsidR="00112644" w:rsidRPr="008C2C5A" w:rsidRDefault="00112644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14:paraId="00D425E7" w14:textId="77777777" w:rsidR="00112644" w:rsidRPr="008C2C5A" w:rsidRDefault="00112644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65BEBBA6" w14:textId="77777777"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6131BA01" w14:textId="77777777"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F" w:rsidRPr="008C2C5A" w14:paraId="51B15C3E" w14:textId="77777777" w:rsidTr="000029EF">
        <w:tc>
          <w:tcPr>
            <w:tcW w:w="2762" w:type="dxa"/>
            <w:gridSpan w:val="2"/>
          </w:tcPr>
          <w:p w14:paraId="28E8898A" w14:textId="77777777" w:rsidR="000029EF" w:rsidRPr="008C2C5A" w:rsidRDefault="000029E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0" w:type="dxa"/>
          </w:tcPr>
          <w:p w14:paraId="7BF13837" w14:textId="77777777" w:rsidR="000029EF" w:rsidRPr="008C2C5A" w:rsidRDefault="000029EF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14:paraId="700681F3" w14:textId="77777777"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14:paraId="44B43DBD" w14:textId="77777777"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C9589" w14:textId="77777777" w:rsidR="00A36F9F" w:rsidRPr="008C2C5A" w:rsidRDefault="00A36F9F" w:rsidP="00A36F9F">
      <w:pPr>
        <w:pStyle w:val="ConsPlusNormal"/>
        <w:jc w:val="both"/>
      </w:pPr>
      <w:bookmarkStart w:id="0" w:name="P359"/>
      <w:bookmarkEnd w:id="0"/>
    </w:p>
    <w:p w14:paraId="75716888" w14:textId="77777777" w:rsidR="00A36F9F" w:rsidRPr="008C2C5A" w:rsidRDefault="00A36F9F" w:rsidP="00A36F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2.12. Мероприятия по обеспечению содержания и эксплуатации проекта ТОС после его реализации.</w:t>
      </w:r>
    </w:p>
    <w:p w14:paraId="1AC4195A" w14:textId="77777777" w:rsidR="004B6758" w:rsidRPr="008C2C5A" w:rsidRDefault="004B6758" w:rsidP="004B6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2.13. Визуальное представление проекта ТОС (представляются схема, чертеж, эскиз, презентация, дизайн-проект).</w:t>
      </w:r>
    </w:p>
    <w:p w14:paraId="700D538E" w14:textId="77777777"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4</w:t>
      </w:r>
      <w:r w:rsidRPr="008C2C5A">
        <w:rPr>
          <w:sz w:val="28"/>
          <w:szCs w:val="28"/>
        </w:rPr>
        <w:t>. Мероприятия по развитию проекта ТОС после его реализации.</w:t>
      </w:r>
    </w:p>
    <w:p w14:paraId="4A4B61D3" w14:textId="77777777"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/>
          <w:bCs/>
          <w:lang w:eastAsia="en-US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5</w:t>
      </w:r>
      <w:r w:rsidRPr="008C2C5A">
        <w:rPr>
          <w:sz w:val="28"/>
          <w:szCs w:val="28"/>
        </w:rPr>
        <w:t>. Информирование населения о проект</w:t>
      </w:r>
      <w:r w:rsidR="00051DC5" w:rsidRPr="008C2C5A">
        <w:rPr>
          <w:sz w:val="28"/>
          <w:szCs w:val="28"/>
        </w:rPr>
        <w:t>е</w:t>
      </w:r>
      <w:r w:rsidRPr="008C2C5A">
        <w:rPr>
          <w:sz w:val="28"/>
          <w:szCs w:val="28"/>
        </w:rPr>
        <w:t xml:space="preserve"> ТОС</w:t>
      </w:r>
      <w:r w:rsidR="00051DC5" w:rsidRPr="008C2C5A">
        <w:rPr>
          <w:sz w:val="28"/>
          <w:szCs w:val="28"/>
        </w:rPr>
        <w:t xml:space="preserve">: </w:t>
      </w:r>
      <w:r w:rsidR="00B66324" w:rsidRPr="008C2C5A">
        <w:rPr>
          <w:sz w:val="28"/>
          <w:szCs w:val="28"/>
        </w:rPr>
        <w:t>(</w:t>
      </w:r>
      <w:r w:rsidR="00596DB1" w:rsidRPr="008C2C5A">
        <w:rPr>
          <w:sz w:val="28"/>
          <w:szCs w:val="28"/>
        </w:rPr>
        <w:t xml:space="preserve">размещение информации на официальном сайте органов местного самоуправления, в социальных сетях, в </w:t>
      </w:r>
      <w:r w:rsidR="00112644">
        <w:rPr>
          <w:sz w:val="28"/>
          <w:szCs w:val="28"/>
        </w:rPr>
        <w:t>средствах массовой информации</w:t>
      </w:r>
      <w:r w:rsidR="00596DB1" w:rsidRPr="008C2C5A">
        <w:rPr>
          <w:sz w:val="28"/>
          <w:szCs w:val="28"/>
        </w:rPr>
        <w:t>, на информационных стендах, проведение встреч с населением, распространение информационных листков).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425"/>
        <w:gridCol w:w="3260"/>
      </w:tblGrid>
      <w:tr w:rsidR="00A36F9F" w:rsidRPr="008C2C5A" w14:paraId="420335CF" w14:textId="77777777" w:rsidTr="009F4F61">
        <w:tc>
          <w:tcPr>
            <w:tcW w:w="4644" w:type="dxa"/>
          </w:tcPr>
          <w:p w14:paraId="48F4C394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br/>
              <w:t>Глава муниципального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FFDC21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2ACD640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BA41D41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14:paraId="62C6ACBB" w14:textId="77777777" w:rsidTr="009F4F61">
        <w:tc>
          <w:tcPr>
            <w:tcW w:w="4644" w:type="dxa"/>
          </w:tcPr>
          <w:p w14:paraId="10340EF5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82E8ECB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6D28C7A7" w14:textId="77777777"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0803D90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ADD5F97" w14:textId="77777777" w:rsidR="00A36F9F" w:rsidRPr="008C2C5A" w:rsidRDefault="00A36F9F" w:rsidP="00A36F9F">
      <w:pPr>
        <w:tabs>
          <w:tab w:val="left" w:pos="451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85"/>
        <w:gridCol w:w="425"/>
        <w:gridCol w:w="3260"/>
      </w:tblGrid>
      <w:tr w:rsidR="00A36F9F" w:rsidRPr="008C2C5A" w14:paraId="41EEF7BE" w14:textId="77777777" w:rsidTr="009F4F61">
        <w:tc>
          <w:tcPr>
            <w:tcW w:w="4644" w:type="dxa"/>
          </w:tcPr>
          <w:p w14:paraId="19A92602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Руководитель ТОС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923E1D6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409B90AE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B0A370F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14:paraId="4EB28228" w14:textId="77777777" w:rsidTr="009F4F61">
        <w:tc>
          <w:tcPr>
            <w:tcW w:w="4644" w:type="dxa"/>
          </w:tcPr>
          <w:p w14:paraId="07A2FDD5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2F084A3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14:paraId="301D13CB" w14:textId="77777777"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68D1D86" w14:textId="77777777"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313828A0" w14:textId="77777777" w:rsidR="00A36F9F" w:rsidRPr="008C2C5A" w:rsidRDefault="00A36F9F" w:rsidP="00A36F9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14:paraId="527B51C6" w14:textId="77777777" w:rsidR="00A36F9F" w:rsidRPr="008C2C5A" w:rsidRDefault="00A36F9F" w:rsidP="00A36F9F"/>
    <w:sectPr w:rsidR="00A36F9F" w:rsidRPr="008C2C5A" w:rsidSect="009B4DB1">
      <w:headerReference w:type="default" r:id="rId8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2608" w14:textId="77777777" w:rsidR="008F1A64" w:rsidRDefault="008F1A64" w:rsidP="00092A25">
      <w:r>
        <w:separator/>
      </w:r>
    </w:p>
  </w:endnote>
  <w:endnote w:type="continuationSeparator" w:id="0">
    <w:p w14:paraId="0AC09D0B" w14:textId="77777777" w:rsidR="008F1A64" w:rsidRDefault="008F1A64" w:rsidP="0009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520F" w14:textId="77777777" w:rsidR="008F1A64" w:rsidRDefault="008F1A64" w:rsidP="00092A25">
      <w:r>
        <w:separator/>
      </w:r>
    </w:p>
  </w:footnote>
  <w:footnote w:type="continuationSeparator" w:id="0">
    <w:p w14:paraId="5EEB6AD2" w14:textId="77777777" w:rsidR="008F1A64" w:rsidRDefault="008F1A64" w:rsidP="00092A25">
      <w:r>
        <w:continuationSeparator/>
      </w:r>
    </w:p>
  </w:footnote>
  <w:footnote w:id="1">
    <w:p w14:paraId="36831BFC" w14:textId="77777777" w:rsidR="00A36F9F" w:rsidRDefault="00A36F9F" w:rsidP="00A36F9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607C8">
        <w:t xml:space="preserve">При описании ожидаемых результатов реализации проекта </w:t>
      </w:r>
      <w:r>
        <w:t xml:space="preserve">ТОС </w:t>
      </w:r>
      <w:r w:rsidRPr="001607C8">
        <w:t>должны обеспечиваться их специфичность (соответствие сфере реализации проекта</w:t>
      </w:r>
      <w:r>
        <w:t xml:space="preserve"> ТОС</w:t>
      </w:r>
      <w:r w:rsidRPr="001607C8">
        <w:t>), конкретность (не допускаются размытые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 проекта</w:t>
      </w:r>
      <w:r>
        <w:t xml:space="preserve"> ТОС</w:t>
      </w:r>
      <w:r w:rsidRPr="001607C8">
        <w:t xml:space="preserve">) и измеримость (достижение ожидаемых результатов реализации проекта </w:t>
      </w:r>
      <w:r>
        <w:t xml:space="preserve">ТОС </w:t>
      </w:r>
      <w:r w:rsidRPr="001607C8">
        <w:t>можно проверить).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413226"/>
      <w:docPartObj>
        <w:docPartGallery w:val="Page Numbers (Top of Page)"/>
        <w:docPartUnique/>
      </w:docPartObj>
    </w:sdtPr>
    <w:sdtContent>
      <w:p w14:paraId="7C9188A9" w14:textId="5FB1C965" w:rsidR="009B4DB1" w:rsidRDefault="009B4D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E7237" w14:textId="77777777" w:rsidR="00D33ECE" w:rsidRDefault="008F1A64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5C"/>
    <w:rsid w:val="00001287"/>
    <w:rsid w:val="000029EF"/>
    <w:rsid w:val="00015453"/>
    <w:rsid w:val="00033C6B"/>
    <w:rsid w:val="00051DC5"/>
    <w:rsid w:val="000604ED"/>
    <w:rsid w:val="00066576"/>
    <w:rsid w:val="00092A25"/>
    <w:rsid w:val="000C0844"/>
    <w:rsid w:val="000D0654"/>
    <w:rsid w:val="000E4594"/>
    <w:rsid w:val="00110626"/>
    <w:rsid w:val="00112644"/>
    <w:rsid w:val="00117ABD"/>
    <w:rsid w:val="001359C1"/>
    <w:rsid w:val="001619A0"/>
    <w:rsid w:val="00182A28"/>
    <w:rsid w:val="00195F36"/>
    <w:rsid w:val="001B7DAB"/>
    <w:rsid w:val="001C0743"/>
    <w:rsid w:val="001C474C"/>
    <w:rsid w:val="00205B65"/>
    <w:rsid w:val="002536CB"/>
    <w:rsid w:val="00271FFD"/>
    <w:rsid w:val="002741DA"/>
    <w:rsid w:val="00276CA4"/>
    <w:rsid w:val="00283727"/>
    <w:rsid w:val="002B0623"/>
    <w:rsid w:val="002B6109"/>
    <w:rsid w:val="002C0123"/>
    <w:rsid w:val="002C39C4"/>
    <w:rsid w:val="002C4892"/>
    <w:rsid w:val="002E7AF4"/>
    <w:rsid w:val="00306C1A"/>
    <w:rsid w:val="00342EC8"/>
    <w:rsid w:val="003C60CE"/>
    <w:rsid w:val="003D7AD8"/>
    <w:rsid w:val="003F43A6"/>
    <w:rsid w:val="00412C1D"/>
    <w:rsid w:val="0041605E"/>
    <w:rsid w:val="004174EE"/>
    <w:rsid w:val="00431AF6"/>
    <w:rsid w:val="004354E8"/>
    <w:rsid w:val="004401D1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96DB1"/>
    <w:rsid w:val="005C2E12"/>
    <w:rsid w:val="006244E4"/>
    <w:rsid w:val="00626FA2"/>
    <w:rsid w:val="00692463"/>
    <w:rsid w:val="006976F3"/>
    <w:rsid w:val="006D021D"/>
    <w:rsid w:val="006E72A8"/>
    <w:rsid w:val="00715DFB"/>
    <w:rsid w:val="007259D7"/>
    <w:rsid w:val="00742595"/>
    <w:rsid w:val="00743749"/>
    <w:rsid w:val="007437DF"/>
    <w:rsid w:val="007609EB"/>
    <w:rsid w:val="007D2B68"/>
    <w:rsid w:val="007E28CE"/>
    <w:rsid w:val="007F4E3B"/>
    <w:rsid w:val="00816D79"/>
    <w:rsid w:val="00850458"/>
    <w:rsid w:val="00870A12"/>
    <w:rsid w:val="008759C6"/>
    <w:rsid w:val="00883683"/>
    <w:rsid w:val="00885936"/>
    <w:rsid w:val="008A1B5B"/>
    <w:rsid w:val="008B2A9A"/>
    <w:rsid w:val="008C2C5A"/>
    <w:rsid w:val="008D11E3"/>
    <w:rsid w:val="008D1D1A"/>
    <w:rsid w:val="008D7F49"/>
    <w:rsid w:val="008F1A64"/>
    <w:rsid w:val="0090522F"/>
    <w:rsid w:val="00910DFA"/>
    <w:rsid w:val="009651D2"/>
    <w:rsid w:val="00991D64"/>
    <w:rsid w:val="009930E1"/>
    <w:rsid w:val="00995A72"/>
    <w:rsid w:val="009A4C6D"/>
    <w:rsid w:val="009B4DB1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0254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699A"/>
    <w:rsid w:val="00C878A2"/>
    <w:rsid w:val="00C92287"/>
    <w:rsid w:val="00CA55B2"/>
    <w:rsid w:val="00CA6B73"/>
    <w:rsid w:val="00CB0070"/>
    <w:rsid w:val="00CE2B1D"/>
    <w:rsid w:val="00CF679E"/>
    <w:rsid w:val="00D04BD9"/>
    <w:rsid w:val="00D04DA2"/>
    <w:rsid w:val="00D2469D"/>
    <w:rsid w:val="00D523B8"/>
    <w:rsid w:val="00D75010"/>
    <w:rsid w:val="00D838AD"/>
    <w:rsid w:val="00D93FC2"/>
    <w:rsid w:val="00DB6CDE"/>
    <w:rsid w:val="00DC2D25"/>
    <w:rsid w:val="00E06EDD"/>
    <w:rsid w:val="00E211B4"/>
    <w:rsid w:val="00E279C1"/>
    <w:rsid w:val="00E5010D"/>
    <w:rsid w:val="00E55DF3"/>
    <w:rsid w:val="00E726FE"/>
    <w:rsid w:val="00E96287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E118B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04A5"/>
  <w15:docId w15:val="{EF51002B-6D59-4488-B716-6870A8D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D533E-B865-4875-A01C-6170023E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Сабишева Ирина Николаевна</cp:lastModifiedBy>
  <cp:revision>5</cp:revision>
  <cp:lastPrinted>2019-12-24T12:44:00Z</cp:lastPrinted>
  <dcterms:created xsi:type="dcterms:W3CDTF">2020-01-09T08:04:00Z</dcterms:created>
  <dcterms:modified xsi:type="dcterms:W3CDTF">2023-01-26T06:15:00Z</dcterms:modified>
</cp:coreProperties>
</file>