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4E" w:rsidRDefault="00550D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0D4E" w:rsidRDefault="00550D4E">
      <w:pPr>
        <w:pStyle w:val="ConsPlusNormal"/>
        <w:ind w:firstLine="540"/>
        <w:jc w:val="both"/>
        <w:outlineLvl w:val="0"/>
      </w:pPr>
    </w:p>
    <w:p w:rsidR="00550D4E" w:rsidRDefault="00550D4E">
      <w:pPr>
        <w:pStyle w:val="ConsPlusNormal"/>
        <w:outlineLvl w:val="0"/>
      </w:pPr>
      <w:r>
        <w:t>Зарегистрировано в Минюсте России 20 апреля 2017 г. N 46443</w:t>
      </w:r>
    </w:p>
    <w:p w:rsidR="00550D4E" w:rsidRDefault="00550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Title"/>
        <w:jc w:val="center"/>
      </w:pPr>
      <w:r>
        <w:t>МИНИСТЕРСТВО СТРОИТЕЛЬСТВА И ЖИЛИЩНО-КОММУНАЛЬНОГО</w:t>
      </w:r>
    </w:p>
    <w:p w:rsidR="00550D4E" w:rsidRDefault="00550D4E">
      <w:pPr>
        <w:pStyle w:val="ConsPlusTitle"/>
        <w:jc w:val="center"/>
      </w:pPr>
      <w:r>
        <w:t>ХОЗЯЙСТВА РОССИЙСКОЙ ФЕДЕРАЦИИ</w:t>
      </w:r>
    </w:p>
    <w:p w:rsidR="00550D4E" w:rsidRDefault="00550D4E">
      <w:pPr>
        <w:pStyle w:val="ConsPlusTitle"/>
        <w:jc w:val="center"/>
      </w:pPr>
    </w:p>
    <w:p w:rsidR="00550D4E" w:rsidRDefault="00550D4E">
      <w:pPr>
        <w:pStyle w:val="ConsPlusTitle"/>
        <w:jc w:val="center"/>
      </w:pPr>
      <w:r>
        <w:t>ПРИКАЗ</w:t>
      </w:r>
    </w:p>
    <w:p w:rsidR="00550D4E" w:rsidRDefault="00550D4E">
      <w:pPr>
        <w:pStyle w:val="ConsPlusTitle"/>
        <w:jc w:val="center"/>
      </w:pPr>
      <w:r>
        <w:t>от 6 апреля 2017 г. N 690/</w:t>
      </w:r>
      <w:proofErr w:type="gramStart"/>
      <w:r>
        <w:t>пр</w:t>
      </w:r>
      <w:proofErr w:type="gramEnd"/>
    </w:p>
    <w:p w:rsidR="00550D4E" w:rsidRDefault="00550D4E">
      <w:pPr>
        <w:pStyle w:val="ConsPlusTitle"/>
        <w:jc w:val="center"/>
      </w:pPr>
    </w:p>
    <w:p w:rsidR="00550D4E" w:rsidRDefault="00550D4E">
      <w:pPr>
        <w:pStyle w:val="ConsPlusTitle"/>
        <w:jc w:val="center"/>
      </w:pPr>
      <w:r>
        <w:t>ОБ УТВЕРЖДЕНИИ МЕТОДИКИ</w:t>
      </w:r>
    </w:p>
    <w:p w:rsidR="00550D4E" w:rsidRDefault="00550D4E">
      <w:pPr>
        <w:pStyle w:val="ConsPlusTitle"/>
        <w:jc w:val="center"/>
      </w:pPr>
      <w:r>
        <w:t>ОЦЕНКИ КОНКУРСНЫХ ЗАЯВОК МУНИЦИПАЛЬНЫХ ОБРАЗОВАНИЙ,</w:t>
      </w:r>
    </w:p>
    <w:p w:rsidR="00550D4E" w:rsidRDefault="00550D4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 НОМИНАЦИИ "ГРАДОСТРОИТЕЛЬНАЯ</w:t>
      </w:r>
    </w:p>
    <w:p w:rsidR="00550D4E" w:rsidRDefault="00550D4E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550D4E" w:rsidRDefault="00550D4E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550D4E" w:rsidRDefault="00550D4E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550D4E" w:rsidRDefault="00550D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0"/>
        <w:gridCol w:w="113"/>
      </w:tblGrid>
      <w:tr w:rsidR="00550D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D4E" w:rsidRDefault="00550D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D4E" w:rsidRDefault="00550D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D4E" w:rsidRDefault="00550D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D4E" w:rsidRDefault="00550D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10.07.2020 </w:t>
            </w:r>
            <w:hyperlink r:id="rId5" w:history="1">
              <w:r>
                <w:rPr>
                  <w:color w:val="0000FF"/>
                </w:rPr>
                <w:t>N 376/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,</w:t>
            </w:r>
          </w:p>
          <w:p w:rsidR="00550D4E" w:rsidRDefault="00550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6" w:history="1">
              <w:r>
                <w:rPr>
                  <w:color w:val="0000FF"/>
                </w:rPr>
                <w:t>N 515/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D4E" w:rsidRDefault="00550D4E">
            <w:pPr>
              <w:spacing w:after="1" w:line="0" w:lineRule="atLeast"/>
            </w:pPr>
          </w:p>
        </w:tc>
      </w:tr>
    </w:tbl>
    <w:p w:rsidR="00550D4E" w:rsidRDefault="00550D4E">
      <w:pPr>
        <w:pStyle w:val="ConsPlusNormal"/>
        <w:jc w:val="center"/>
      </w:pPr>
    </w:p>
    <w:p w:rsidR="00550D4E" w:rsidRDefault="00550D4E">
      <w:pPr>
        <w:pStyle w:val="ConsPlusNormal"/>
        <w:ind w:firstLine="540"/>
        <w:jc w:val="both"/>
      </w:pPr>
      <w:r>
        <w:t>В соответствии с пунктом 5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anchor="P40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jc w:val="right"/>
      </w:pPr>
      <w:r>
        <w:t>Министр</w:t>
      </w:r>
    </w:p>
    <w:p w:rsidR="00550D4E" w:rsidRDefault="00550D4E">
      <w:pPr>
        <w:pStyle w:val="ConsPlusNormal"/>
        <w:jc w:val="right"/>
      </w:pPr>
      <w:r>
        <w:t>М.А.МЕНЬ</w:t>
      </w:r>
    </w:p>
    <w:p w:rsidR="00550D4E" w:rsidRDefault="00550D4E">
      <w:pPr>
        <w:pStyle w:val="ConsPlusNormal"/>
        <w:jc w:val="right"/>
      </w:pPr>
    </w:p>
    <w:p w:rsidR="00550D4E" w:rsidRDefault="00550D4E">
      <w:pPr>
        <w:pStyle w:val="ConsPlusNormal"/>
        <w:jc w:val="right"/>
      </w:pPr>
    </w:p>
    <w:p w:rsidR="00550D4E" w:rsidRDefault="00550D4E">
      <w:pPr>
        <w:pStyle w:val="ConsPlusNormal"/>
        <w:jc w:val="right"/>
      </w:pPr>
    </w:p>
    <w:p w:rsidR="00550D4E" w:rsidRDefault="00550D4E">
      <w:pPr>
        <w:pStyle w:val="ConsPlusNormal"/>
        <w:jc w:val="right"/>
      </w:pPr>
    </w:p>
    <w:p w:rsidR="00550D4E" w:rsidRDefault="00550D4E">
      <w:pPr>
        <w:pStyle w:val="ConsPlusNormal"/>
        <w:jc w:val="right"/>
      </w:pPr>
    </w:p>
    <w:p w:rsidR="00550D4E" w:rsidRDefault="00550D4E">
      <w:pPr>
        <w:pStyle w:val="ConsPlusNormal"/>
        <w:jc w:val="right"/>
        <w:outlineLvl w:val="0"/>
      </w:pPr>
      <w:r>
        <w:t>Приложение</w:t>
      </w:r>
    </w:p>
    <w:p w:rsidR="00550D4E" w:rsidRDefault="00550D4E">
      <w:pPr>
        <w:pStyle w:val="ConsPlusNormal"/>
        <w:jc w:val="right"/>
      </w:pPr>
    </w:p>
    <w:p w:rsidR="00550D4E" w:rsidRDefault="00550D4E">
      <w:pPr>
        <w:pStyle w:val="ConsPlusNormal"/>
        <w:jc w:val="right"/>
      </w:pPr>
      <w:r>
        <w:t>Утверждена</w:t>
      </w:r>
    </w:p>
    <w:p w:rsidR="00550D4E" w:rsidRDefault="00550D4E">
      <w:pPr>
        <w:pStyle w:val="ConsPlusNormal"/>
        <w:jc w:val="right"/>
      </w:pPr>
      <w:r>
        <w:t>приказом Министерства строительства</w:t>
      </w:r>
    </w:p>
    <w:p w:rsidR="00550D4E" w:rsidRDefault="00550D4E">
      <w:pPr>
        <w:pStyle w:val="ConsPlusNormal"/>
        <w:jc w:val="right"/>
      </w:pPr>
      <w:r>
        <w:t>и жилищно-коммунального хозяйства</w:t>
      </w:r>
    </w:p>
    <w:p w:rsidR="00550D4E" w:rsidRDefault="00550D4E">
      <w:pPr>
        <w:pStyle w:val="ConsPlusNormal"/>
        <w:jc w:val="right"/>
      </w:pPr>
      <w:r>
        <w:t>Российской Федерации</w:t>
      </w:r>
    </w:p>
    <w:p w:rsidR="00550D4E" w:rsidRDefault="00550D4E">
      <w:pPr>
        <w:pStyle w:val="ConsPlusNormal"/>
        <w:jc w:val="right"/>
      </w:pPr>
      <w:r>
        <w:t>от 6 апреля 2017 г. N 690/</w:t>
      </w:r>
      <w:proofErr w:type="gramStart"/>
      <w:r>
        <w:t>пр</w:t>
      </w:r>
      <w:proofErr w:type="gramEnd"/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Title"/>
        <w:jc w:val="center"/>
      </w:pPr>
      <w:bookmarkStart w:id="0" w:name="P40"/>
      <w:bookmarkEnd w:id="0"/>
      <w:r>
        <w:t>МЕТОДИКА</w:t>
      </w:r>
    </w:p>
    <w:p w:rsidR="00550D4E" w:rsidRDefault="00550D4E">
      <w:pPr>
        <w:pStyle w:val="ConsPlusTitle"/>
        <w:jc w:val="center"/>
      </w:pPr>
      <w:r>
        <w:lastRenderedPageBreak/>
        <w:t>ОЦЕНКИ КОНКУРСНЫХ ЗАЯВОК МУНИЦИПАЛЬНЫХ ОБРАЗОВАНИЙ,</w:t>
      </w:r>
    </w:p>
    <w:p w:rsidR="00550D4E" w:rsidRDefault="00550D4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 НОМИНАЦИИ "ГРАДОСТРОИТЕЛЬНАЯ</w:t>
      </w:r>
    </w:p>
    <w:p w:rsidR="00550D4E" w:rsidRDefault="00550D4E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550D4E" w:rsidRDefault="00550D4E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550D4E" w:rsidRDefault="00550D4E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550D4E" w:rsidRDefault="00550D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0"/>
        <w:gridCol w:w="113"/>
      </w:tblGrid>
      <w:tr w:rsidR="00550D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D4E" w:rsidRDefault="00550D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D4E" w:rsidRDefault="00550D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D4E" w:rsidRDefault="00550D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D4E" w:rsidRDefault="00550D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10.07.2020 </w:t>
            </w:r>
            <w:hyperlink r:id="rId7" w:history="1">
              <w:r>
                <w:rPr>
                  <w:color w:val="0000FF"/>
                </w:rPr>
                <w:t>N 376/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,</w:t>
            </w:r>
          </w:p>
          <w:p w:rsidR="00550D4E" w:rsidRDefault="00550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8" w:history="1">
              <w:r>
                <w:rPr>
                  <w:color w:val="0000FF"/>
                </w:rPr>
                <w:t>N 515/</w:t>
              </w:r>
              <w:proofErr w:type="gramStart"/>
              <w:r>
                <w:rPr>
                  <w:color w:val="0000FF"/>
                </w:rPr>
                <w:t>пр</w:t>
              </w:r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D4E" w:rsidRDefault="00550D4E">
            <w:pPr>
              <w:spacing w:after="1" w:line="0" w:lineRule="atLeast"/>
            </w:pPr>
          </w:p>
        </w:tc>
      </w:tr>
    </w:tbl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r:id="rId9" w:history="1">
        <w:r>
          <w:rPr>
            <w:color w:val="0000FF"/>
          </w:rPr>
          <w:t>пунктам 3</w:t>
        </w:r>
      </w:hyperlink>
      <w:r>
        <w:t xml:space="preserve"> - </w:t>
      </w:r>
      <w:hyperlink r:id="rId10" w:history="1">
        <w:r>
          <w:rPr>
            <w:color w:val="0000FF"/>
          </w:rPr>
          <w:t>11 раздела II</w:t>
        </w:r>
      </w:hyperlink>
      <w:r>
        <w:t xml:space="preserve"> конкурсной заявки на основании показателей (критериев оценки), предусмотренных </w:t>
      </w:r>
      <w:hyperlink w:anchor="P54" w:history="1">
        <w:r>
          <w:rPr>
            <w:color w:val="0000FF"/>
          </w:rPr>
          <w:t>Таблицей</w:t>
        </w:r>
      </w:hyperlink>
      <w:r>
        <w:t xml:space="preserve">, содержащейся в </w:t>
      </w:r>
      <w:hyperlink w:anchor="P54" w:history="1">
        <w:r>
          <w:rPr>
            <w:color w:val="0000FF"/>
          </w:rPr>
          <w:t>пункте 4</w:t>
        </w:r>
      </w:hyperlink>
      <w:r>
        <w:t xml:space="preserve"> настоящей Методики (далее - Таблица).</w:t>
      </w:r>
    </w:p>
    <w:p w:rsidR="00550D4E" w:rsidRDefault="00550D4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Минстроя России от 10.07.2020 N 376/</w:t>
      </w:r>
      <w:proofErr w:type="gramStart"/>
      <w:r>
        <w:t>пр</w:t>
      </w:r>
      <w:proofErr w:type="gramEnd"/>
      <w:r>
        <w:t>)</w:t>
      </w:r>
    </w:p>
    <w:p w:rsidR="00550D4E" w:rsidRDefault="00550D4E">
      <w:pPr>
        <w:pStyle w:val="ConsPlusNormal"/>
        <w:spacing w:before="220"/>
        <w:ind w:firstLine="540"/>
        <w:jc w:val="both"/>
      </w:pPr>
      <w:bookmarkStart w:id="1" w:name="P54"/>
      <w:bookmarkEnd w:id="1"/>
      <w:r>
        <w:t>4. Показатели (критерии оценки) определяются с учетом следующего:</w:t>
      </w:r>
    </w:p>
    <w:p w:rsidR="00550D4E" w:rsidRDefault="00550D4E">
      <w:pPr>
        <w:pStyle w:val="ConsPlusNormal"/>
        <w:spacing w:before="220"/>
        <w:ind w:firstLine="540"/>
        <w:jc w:val="both"/>
      </w:pPr>
      <w:proofErr w:type="gramStart"/>
      <w:r>
        <w:t xml:space="preserve">а) по показателям (критериям оценки), предусмотренным </w:t>
      </w:r>
      <w:hyperlink w:anchor="P67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70" w:history="1">
        <w:r>
          <w:rPr>
            <w:color w:val="0000FF"/>
          </w:rPr>
          <w:t>1.2</w:t>
        </w:r>
      </w:hyperlink>
      <w:r>
        <w:t xml:space="preserve">, </w:t>
      </w:r>
      <w:hyperlink w:anchor="P74" w:history="1">
        <w:r>
          <w:rPr>
            <w:color w:val="0000FF"/>
          </w:rPr>
          <w:t>2.1</w:t>
        </w:r>
      </w:hyperlink>
      <w:r>
        <w:t xml:space="preserve"> - </w:t>
      </w:r>
      <w:hyperlink w:anchor="P86" w:history="1">
        <w:r>
          <w:rPr>
            <w:color w:val="0000FF"/>
          </w:rPr>
          <w:t>2.5</w:t>
        </w:r>
      </w:hyperlink>
      <w:r>
        <w:t xml:space="preserve">, </w:t>
      </w:r>
      <w:hyperlink w:anchor="P103" w:history="1">
        <w:r>
          <w:rPr>
            <w:color w:val="0000FF"/>
          </w:rPr>
          <w:t>4.1</w:t>
        </w:r>
      </w:hyperlink>
      <w:r>
        <w:t xml:space="preserve">, </w:t>
      </w:r>
      <w:hyperlink w:anchor="P117" w:history="1">
        <w:r>
          <w:rPr>
            <w:color w:val="0000FF"/>
          </w:rPr>
          <w:t>6.1</w:t>
        </w:r>
      </w:hyperlink>
      <w:r>
        <w:t xml:space="preserve"> - </w:t>
      </w:r>
      <w:hyperlink w:anchor="P132" w:history="1">
        <w:r>
          <w:rPr>
            <w:color w:val="0000FF"/>
          </w:rPr>
          <w:t>6.6</w:t>
        </w:r>
      </w:hyperlink>
      <w:r>
        <w:t xml:space="preserve">, </w:t>
      </w:r>
      <w:hyperlink w:anchor="P154" w:history="1">
        <w:r>
          <w:rPr>
            <w:color w:val="0000FF"/>
          </w:rPr>
          <w:t>10.1</w:t>
        </w:r>
      </w:hyperlink>
      <w:r>
        <w:t xml:space="preserve">, </w:t>
      </w:r>
      <w:hyperlink w:anchor="P158" w:history="1">
        <w:r>
          <w:rPr>
            <w:color w:val="0000FF"/>
          </w:rPr>
          <w:t>11.1</w:t>
        </w:r>
      </w:hyperlink>
      <w:r>
        <w:t xml:space="preserve">, </w:t>
      </w:r>
      <w:hyperlink w:anchor="P169" w:history="1">
        <w:r>
          <w:rPr>
            <w:color w:val="0000FF"/>
          </w:rPr>
          <w:t>13.1</w:t>
        </w:r>
      </w:hyperlink>
      <w:r>
        <w:t xml:space="preserve">, </w:t>
      </w:r>
      <w:hyperlink w:anchor="P172" w:history="1">
        <w:r>
          <w:rPr>
            <w:color w:val="0000FF"/>
          </w:rPr>
          <w:t>13.2</w:t>
        </w:r>
      </w:hyperlink>
      <w:r>
        <w:t xml:space="preserve"> Таблицы, членами Подкомиссии присваиваются баллы в диапазоне, указанном в </w:t>
      </w:r>
      <w:hyperlink w:anchor="P61" w:history="1">
        <w:r>
          <w:rPr>
            <w:color w:val="0000FF"/>
          </w:rPr>
          <w:t>Таблице</w:t>
        </w:r>
      </w:hyperlink>
      <w:r>
        <w:t>, в зависимости от того, в какой степени, по мнению члена Подкомиссии, данный показатель (критерий оценки) применим к оцениваемой практике деятельности органов местного самоуправления в области градостроительной политики, обеспечения благоприятной среды жизнедеятельности населения</w:t>
      </w:r>
      <w:proofErr w:type="gramEnd"/>
      <w:r>
        <w:t xml:space="preserve"> и развития жилищно-коммунального хозяйства (далее - практика);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б) по показателям (критериям оценки), предусмотренным </w:t>
      </w:r>
      <w:hyperlink w:anchor="P90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93" w:history="1">
        <w:r>
          <w:rPr>
            <w:color w:val="0000FF"/>
          </w:rPr>
          <w:t>3.2</w:t>
        </w:r>
      </w:hyperlink>
      <w:r>
        <w:t xml:space="preserve">, </w:t>
      </w:r>
      <w:hyperlink w:anchor="P99" w:history="1">
        <w:r>
          <w:rPr>
            <w:color w:val="0000FF"/>
          </w:rPr>
          <w:t>3.4</w:t>
        </w:r>
      </w:hyperlink>
      <w:r>
        <w:t xml:space="preserve"> Таблицы, присваиваются баллы в соответствии с долей внебюджетных средств в общей стоимости практики. </w:t>
      </w:r>
      <w:proofErr w:type="gramStart"/>
      <w:r>
        <w:t>Показатели (критерии оценки)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</w:t>
      </w:r>
      <w:proofErr w:type="gramEnd"/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в) по показателям (критериям оценки), предусмотренным </w:t>
      </w:r>
      <w:hyperlink w:anchor="P96" w:history="1">
        <w:r>
          <w:rPr>
            <w:color w:val="0000FF"/>
          </w:rPr>
          <w:t>пунктами 3.3</w:t>
        </w:r>
      </w:hyperlink>
      <w:r>
        <w:t xml:space="preserve">, </w:t>
      </w:r>
      <w:hyperlink w:anchor="P113" w:history="1">
        <w:r>
          <w:rPr>
            <w:color w:val="0000FF"/>
          </w:rPr>
          <w:t>5.1</w:t>
        </w:r>
      </w:hyperlink>
      <w:r>
        <w:t xml:space="preserve">, </w:t>
      </w:r>
      <w:hyperlink w:anchor="P136" w:history="1">
        <w:r>
          <w:rPr>
            <w:color w:val="0000FF"/>
          </w:rPr>
          <w:t>7.1</w:t>
        </w:r>
      </w:hyperlink>
      <w:r>
        <w:t xml:space="preserve">, </w:t>
      </w:r>
      <w:hyperlink w:anchor="P139" w:history="1">
        <w:r>
          <w:rPr>
            <w:color w:val="0000FF"/>
          </w:rPr>
          <w:t>7.2</w:t>
        </w:r>
      </w:hyperlink>
      <w:r>
        <w:t xml:space="preserve">, </w:t>
      </w:r>
      <w:hyperlink w:anchor="P146" w:history="1">
        <w:r>
          <w:rPr>
            <w:color w:val="0000FF"/>
          </w:rPr>
          <w:t>8.1</w:t>
        </w:r>
      </w:hyperlink>
      <w:r>
        <w:t xml:space="preserve">, </w:t>
      </w:r>
      <w:hyperlink w:anchor="P150" w:history="1">
        <w:r>
          <w:rPr>
            <w:color w:val="0000FF"/>
          </w:rPr>
          <w:t>9.1</w:t>
        </w:r>
      </w:hyperlink>
      <w:r>
        <w:t xml:space="preserve">, </w:t>
      </w:r>
      <w:hyperlink w:anchor="P175" w:history="1">
        <w:r>
          <w:rPr>
            <w:color w:val="0000FF"/>
          </w:rPr>
          <w:t>13.3</w:t>
        </w:r>
      </w:hyperlink>
      <w:r>
        <w:t xml:space="preserve"> Таблицы, в случае положительного ответа присваивается 5 баллов, в случае отрицательного - 0;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г) по показателям (критериям оценки), предусмотренным </w:t>
      </w:r>
      <w:hyperlink w:anchor="P10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109" w:history="1">
        <w:r>
          <w:rPr>
            <w:color w:val="0000FF"/>
          </w:rPr>
          <w:t>4.3</w:t>
        </w:r>
      </w:hyperlink>
      <w:r>
        <w:t xml:space="preserve">, </w:t>
      </w:r>
      <w:hyperlink w:anchor="P142" w:history="1">
        <w:r>
          <w:rPr>
            <w:color w:val="0000FF"/>
          </w:rPr>
          <w:t>7.3</w:t>
        </w:r>
      </w:hyperlink>
      <w:r>
        <w:t xml:space="preserve"> Таблицы, в случае положительного ответа присваивается 10 баллов, в случае отрицательного - 0;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 xml:space="preserve">д) по показателям (критериям оценки), предусмотренным </w:t>
      </w:r>
      <w:hyperlink w:anchor="P162" w:history="1">
        <w:r>
          <w:rPr>
            <w:color w:val="0000FF"/>
          </w:rPr>
          <w:t>пунктами 12.1</w:t>
        </w:r>
      </w:hyperlink>
      <w:r>
        <w:t xml:space="preserve"> - </w:t>
      </w:r>
      <w:hyperlink w:anchor="P165" w:history="1">
        <w:r>
          <w:rPr>
            <w:color w:val="0000FF"/>
          </w:rPr>
          <w:t>12.2</w:t>
        </w:r>
      </w:hyperlink>
      <w:r>
        <w:t xml:space="preserve"> Таблицы, присваиваются баллы в соответствии с долей бюджетных или внебюджетных источников в общей стоимости практики (до 50% - 5; 50% и более - 10).</w:t>
      </w:r>
    </w:p>
    <w:p w:rsidR="00550D4E" w:rsidRDefault="00550D4E">
      <w:pPr>
        <w:pStyle w:val="ConsPlusNormal"/>
        <w:jc w:val="both"/>
      </w:pPr>
    </w:p>
    <w:p w:rsidR="00550D4E" w:rsidRDefault="00550D4E">
      <w:pPr>
        <w:pStyle w:val="ConsPlusNormal"/>
        <w:jc w:val="right"/>
      </w:pPr>
      <w:bookmarkStart w:id="2" w:name="P61"/>
      <w:bookmarkEnd w:id="2"/>
      <w:r>
        <w:t>Таблица</w:t>
      </w:r>
    </w:p>
    <w:p w:rsidR="00550D4E" w:rsidRDefault="00550D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313"/>
        <w:gridCol w:w="1134"/>
      </w:tblGrid>
      <w:tr w:rsidR="00550D4E">
        <w:tc>
          <w:tcPr>
            <w:tcW w:w="624" w:type="dxa"/>
          </w:tcPr>
          <w:p w:rsidR="00550D4E" w:rsidRDefault="00550D4E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center"/>
            </w:pPr>
            <w:r>
              <w:t>Наименование показателя (критерия оценки)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bookmarkStart w:id="3" w:name="P66"/>
            <w:bookmarkEnd w:id="3"/>
            <w:r>
              <w:t>1. Краткое описание ситуации, обусловившей необходимость реализации практики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4" w:name="P67"/>
            <w:bookmarkEnd w:id="4"/>
            <w:r>
              <w:t>1.1.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5" w:name="P70"/>
            <w:bookmarkEnd w:id="5"/>
            <w:r>
              <w:t>1.2.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2. Проблемы, на решение которых была направлена практика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6" w:name="P74"/>
            <w:bookmarkEnd w:id="6"/>
            <w:r>
              <w:t>2.1.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Реализованная практика выполнена с целью решения проблемы или комплекса проблем, типичных для ряда российских муниципальных образований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2.2.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2.3.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2.4.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proofErr w:type="gramStart"/>
            <w:r>
              <w:t>Реализованная практика обеспечила улучшение экологической ситуации на территории муниципального образования</w:t>
            </w:r>
            <w:proofErr w:type="gramEnd"/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7" w:name="P86"/>
            <w:bookmarkEnd w:id="7"/>
            <w:r>
              <w:t>2.5.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Реализованная практика обеспечила решение проблем инвалидов и других маломобильных групп населения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3. Возможности (ресурсы), которые позволили реализовать практику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8" w:name="P90"/>
            <w:bookmarkEnd w:id="8"/>
            <w:r>
              <w:t>3.1.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с использованием грантов благотворительных организаций и (или) средств общественных организаций, частных пожертвований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9" w:name="P93"/>
            <w:bookmarkEnd w:id="9"/>
            <w:r>
              <w:t>3.2.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с привлечением сре</w:t>
            </w:r>
            <w:proofErr w:type="gramStart"/>
            <w:r>
              <w:t>дств гр</w:t>
            </w:r>
            <w:proofErr w:type="gramEnd"/>
            <w:r>
              <w:t>аждан (самообложение граждан или иная форма привлечения средств)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0" w:name="P96"/>
            <w:bookmarkEnd w:id="10"/>
            <w:r>
              <w:t>3.3.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с привлечением жителей как исполнителей работ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1" w:name="P99"/>
            <w:bookmarkEnd w:id="11"/>
            <w:r>
              <w:t>3.4.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с привлечением частных инвестиций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bookmarkStart w:id="12" w:name="P102"/>
            <w:bookmarkEnd w:id="12"/>
            <w:r>
              <w:t>4. Практика имеет инновационный характер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3" w:name="P103"/>
            <w:bookmarkEnd w:id="13"/>
            <w:r>
              <w:t>4.1.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соответствует аналогичным инновационным практикам, реализованным в Российской Федерации и (или) в мире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4" w:name="P106"/>
            <w:bookmarkEnd w:id="14"/>
            <w:r>
              <w:t>4.2.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с использованием инновационных технологий и материалов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5" w:name="P109"/>
            <w:bookmarkEnd w:id="15"/>
            <w:r>
              <w:t>4.3.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Практика реализована с использованием цифровых технологий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10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5. Результаты реализации практики в измеримых величинах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6" w:name="P113"/>
            <w:bookmarkEnd w:id="16"/>
            <w:r>
              <w:t>5.1.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anchor="P66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10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16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49" w:history="1">
              <w:r>
                <w:rPr>
                  <w:color w:val="0000FF"/>
                </w:rPr>
                <w:t>9</w:t>
              </w:r>
            </w:hyperlink>
            <w:r>
              <w:t xml:space="preserve"> показателей (критериев оценки)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bookmarkStart w:id="17" w:name="P116"/>
            <w:bookmarkEnd w:id="17"/>
            <w:r>
              <w:t>6. Экономические и (или) социальные эффекты от реализации практики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8" w:name="P117"/>
            <w:bookmarkEnd w:id="18"/>
            <w:r>
              <w:t>6.1.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 и улучшение экологической ситуации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6.2.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Реализация практики имеет результатом выявление и поддержку идентичности, сохранение или создание уникальных объектов и пространств, или социальных, культурных, иных практик, присущих данному муниципальному образованию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6.3.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6.4.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Реализация практики имеет результатом увеличение количества посетителей муниципального образования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r>
              <w:t>6.5.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Реализация практики имеет результатом появление новых частных предприятий в области предоставления услуг и товаров для населения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19" w:name="P132"/>
            <w:bookmarkEnd w:id="19"/>
            <w:r>
              <w:t>6.6.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proofErr w:type="gramStart"/>
            <w:r>
              <w:t>Реализация практики имеет результатом создание на территории муниципального образования объектов для осуществления предпринимательской деятельности</w:t>
            </w:r>
            <w:proofErr w:type="gramEnd"/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7. Выгодополучатели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0" w:name="P136"/>
            <w:bookmarkEnd w:id="20"/>
            <w:r>
              <w:t>7.1.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1" w:name="P139"/>
            <w:bookmarkEnd w:id="21"/>
            <w:r>
              <w:t>7.2.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Прямыми получателями выгоды от реализации практики являются представители определенной группы населения (например, пенсионеры, дети, инвалиды и маломобильные группы населения, ветераны войн, многодетные семьи и другие группы населения)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2" w:name="P142"/>
            <w:bookmarkEnd w:id="22"/>
            <w:r>
              <w:t>7.3.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 xml:space="preserve">Прямыми получателями выгоды являются все жители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10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8. Участники проекта внедрения практики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3" w:name="P146"/>
            <w:bookmarkEnd w:id="23"/>
            <w:r>
              <w:t>8.1.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добровольцев (волонтеров),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bookmarkStart w:id="24" w:name="P149"/>
            <w:bookmarkEnd w:id="24"/>
            <w:r>
              <w:t>9.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5" w:name="P150"/>
            <w:bookmarkEnd w:id="25"/>
            <w:r>
              <w:t>9.1.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Представлен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 xml:space="preserve">10. Синхронизация мероприятий практики с мероприятиями, реализуемыми на территории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в рамках национальных, федеральных проектов (программ), государственных, муниципальных программ (проектов)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6" w:name="P154"/>
            <w:bookmarkEnd w:id="26"/>
            <w:r>
              <w:t>10.1.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При реализации практики осуществлена синхронизация мероприятий национальных, федеральных проектов (программ), государственных, муниципальных программ (проектов)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11. Практика способствует повышению индекса качества городской среды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7" w:name="P158"/>
            <w:bookmarkEnd w:id="27"/>
            <w:r>
              <w:t>11.1.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Реализация практики способствует росту индекса качества городской среды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12. Затраты на реализацию практики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8" w:name="P162"/>
            <w:bookmarkEnd w:id="28"/>
            <w:r>
              <w:t>12.1.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Доля бюджетных источников в общей стоимости реализации практики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5;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29" w:name="P165"/>
            <w:bookmarkEnd w:id="29"/>
            <w:r>
              <w:t>12.2.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Доля внебюджетных источников в общей стоимости реализации практики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5; 10</w:t>
            </w:r>
          </w:p>
        </w:tc>
      </w:tr>
      <w:tr w:rsidR="00550D4E">
        <w:tc>
          <w:tcPr>
            <w:tcW w:w="9071" w:type="dxa"/>
            <w:gridSpan w:val="3"/>
          </w:tcPr>
          <w:p w:rsidR="00550D4E" w:rsidRDefault="00550D4E">
            <w:pPr>
              <w:pStyle w:val="ConsPlusNormal"/>
              <w:jc w:val="center"/>
            </w:pPr>
            <w:r>
              <w:t>13. Меры по усовершенствованию реализации практики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30" w:name="P169"/>
            <w:bookmarkEnd w:id="30"/>
            <w:r>
              <w:t>13.1.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Реализованная практика может быть воспроизведена на территории других муниципальных образований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0 - 10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31" w:name="P172"/>
            <w:bookmarkEnd w:id="31"/>
            <w:r>
              <w:t>13.2.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0 - 5</w:t>
            </w:r>
          </w:p>
        </w:tc>
      </w:tr>
      <w:tr w:rsidR="00550D4E">
        <w:tc>
          <w:tcPr>
            <w:tcW w:w="624" w:type="dxa"/>
          </w:tcPr>
          <w:p w:rsidR="00550D4E" w:rsidRDefault="00550D4E">
            <w:pPr>
              <w:pStyle w:val="ConsPlusNormal"/>
            </w:pPr>
            <w:bookmarkStart w:id="32" w:name="P175"/>
            <w:bookmarkEnd w:id="32"/>
            <w:r>
              <w:t>13.3</w:t>
            </w:r>
          </w:p>
        </w:tc>
        <w:tc>
          <w:tcPr>
            <w:tcW w:w="7313" w:type="dxa"/>
          </w:tcPr>
          <w:p w:rsidR="00550D4E" w:rsidRDefault="00550D4E">
            <w:pPr>
              <w:pStyle w:val="ConsPlusNormal"/>
              <w:jc w:val="both"/>
            </w:pPr>
            <w:r>
              <w:t>Наличие в заявке сведений о лицах, ответственных за реализацию практики в муниципальном образовании</w:t>
            </w:r>
          </w:p>
        </w:tc>
        <w:tc>
          <w:tcPr>
            <w:tcW w:w="1134" w:type="dxa"/>
          </w:tcPr>
          <w:p w:rsidR="00550D4E" w:rsidRDefault="00550D4E">
            <w:pPr>
              <w:pStyle w:val="ConsPlusNormal"/>
            </w:pPr>
            <w:r>
              <w:t>5</w:t>
            </w:r>
          </w:p>
        </w:tc>
      </w:tr>
    </w:tbl>
    <w:p w:rsidR="00550D4E" w:rsidRDefault="00550D4E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Минстроя России от 30.07.2021 N 515/</w:t>
      </w:r>
      <w:proofErr w:type="gramStart"/>
      <w:r>
        <w:t>пр</w:t>
      </w:r>
      <w:proofErr w:type="gramEnd"/>
      <w:r>
        <w:t>)</w:t>
      </w: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ind w:firstLine="540"/>
        <w:jc w:val="both"/>
      </w:pPr>
      <w:r>
        <w:t>5. Итоговая сумма баллов по конкурсной заявке рассчитывается по формуле:</w:t>
      </w: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jc w:val="center"/>
      </w:pPr>
      <w:r w:rsidRPr="00BD4E7C">
        <w:rPr>
          <w:position w:val="-41"/>
        </w:rPr>
        <w:pict>
          <v:shape id="_x0000_i1025" style="width:96pt;height:52.5pt" coordsize="" o:spt="100" adj="0,,0" path="" filled="f" stroked="f">
            <v:stroke joinstyle="miter"/>
            <v:imagedata r:id="rId13" o:title="base_1_398077_32768"/>
            <v:formulas/>
            <v:path o:connecttype="segments"/>
          </v:shape>
        </w:pict>
      </w:r>
      <w:r>
        <w:t>,</w:t>
      </w: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ind w:firstLine="540"/>
        <w:jc w:val="both"/>
      </w:pPr>
      <w:r>
        <w:t>где: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>I</w:t>
      </w:r>
      <w:r>
        <w:rPr>
          <w:vertAlign w:val="subscript"/>
        </w:rPr>
        <w:t>i</w:t>
      </w:r>
      <w:r>
        <w:t xml:space="preserve"> - итоговая сумма баллов по i-ой конкурсной заявке;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>c - количество членов подкомиссии, оценивших конкурсную заявку;</w:t>
      </w:r>
    </w:p>
    <w:p w:rsidR="00550D4E" w:rsidRDefault="00550D4E">
      <w:pPr>
        <w:pStyle w:val="ConsPlusNormal"/>
        <w:spacing w:before="220"/>
        <w:ind w:firstLine="540"/>
        <w:jc w:val="both"/>
      </w:pPr>
      <w:r w:rsidRPr="00BD4E7C">
        <w:rPr>
          <w:position w:val="-26"/>
        </w:rPr>
        <w:pict>
          <v:shape id="_x0000_i1026" style="width:33pt;height:37.5pt" coordsize="" o:spt="100" adj="0,,0" path="" filled="f" stroked="f">
            <v:stroke joinstyle="miter"/>
            <v:imagedata r:id="rId14" o:title="base_1_398077_32769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54" w:history="1">
        <w:r>
          <w:rPr>
            <w:color w:val="0000FF"/>
          </w:rPr>
          <w:t>подпункту "а" пункта 4</w:t>
        </w:r>
      </w:hyperlink>
      <w:r>
        <w:t xml:space="preserve"> настоящей Методики;</w:t>
      </w:r>
    </w:p>
    <w:p w:rsidR="00550D4E" w:rsidRDefault="00550D4E">
      <w:pPr>
        <w:pStyle w:val="ConsPlusNormal"/>
        <w:spacing w:before="220"/>
        <w:ind w:firstLine="540"/>
        <w:jc w:val="both"/>
      </w:pPr>
      <w:r w:rsidRPr="00BD4E7C">
        <w:rPr>
          <w:position w:val="-11"/>
        </w:rPr>
        <w:pict>
          <v:shape id="_x0000_i1027" style="width:30pt;height:21.75pt" coordsize="" o:spt="100" adj="0,,0" path="" filled="f" stroked="f">
            <v:stroke joinstyle="miter"/>
            <v:imagedata r:id="rId15" o:title="base_1_398077_32770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54" w:history="1">
        <w:r>
          <w:rPr>
            <w:color w:val="0000FF"/>
          </w:rPr>
          <w:t>подпунктам "б"</w:t>
        </w:r>
      </w:hyperlink>
      <w:r>
        <w:t xml:space="preserve"> - </w:t>
      </w:r>
      <w:hyperlink w:anchor="P54" w:history="1">
        <w:r>
          <w:rPr>
            <w:color w:val="0000FF"/>
          </w:rPr>
          <w:t>"д" пункта 4</w:t>
        </w:r>
      </w:hyperlink>
      <w:r>
        <w:t xml:space="preserve"> настоящей Методики.</w:t>
      </w:r>
    </w:p>
    <w:p w:rsidR="00550D4E" w:rsidRDefault="00550D4E">
      <w:pPr>
        <w:pStyle w:val="ConsPlusNormal"/>
        <w:spacing w:before="220"/>
        <w:ind w:firstLine="540"/>
        <w:jc w:val="both"/>
      </w:pPr>
      <w: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ind w:firstLine="540"/>
        <w:jc w:val="both"/>
      </w:pPr>
    </w:p>
    <w:p w:rsidR="00550D4E" w:rsidRDefault="00550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9F4" w:rsidRDefault="001B09F4"/>
    <w:sectPr w:rsidR="001B09F4" w:rsidSect="00FB79F7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50D4E"/>
    <w:rsid w:val="001B09F4"/>
    <w:rsid w:val="00550D4E"/>
    <w:rsid w:val="00641BFE"/>
    <w:rsid w:val="0077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875DE763EA735288E790DAC313181EEBC7854A2753CCC7AA8D66B50CDA2EA66513A49EBF0F27094547B5F2C16CB936k8I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56C3CFA74790E44228875DE763EA735284E990D7C313181EEBC7854A2753CCC7AA8D66B50CDA2EA66513A49EBF0F27094547B5F2C16CB936k8I" TargetMode="External"/><Relationship Id="rId12" Type="http://schemas.openxmlformats.org/officeDocument/2006/relationships/hyperlink" Target="consultantplus://offline/ref=CB56C3CFA74790E44228875DE763EA735288E790DAC313181EEBC7854A2753CCC7AA8D66B50CDA2FA06513A49EBF0F27094547B5F2C16CB936k8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6C3CFA74790E44228875DE763EA735288E790DAC313181EEBC7854A2753CCC7AA8D66B50CDA2EA66513A49EBF0F27094547B5F2C16CB936k8I" TargetMode="External"/><Relationship Id="rId11" Type="http://schemas.openxmlformats.org/officeDocument/2006/relationships/hyperlink" Target="consultantplus://offline/ref=CB56C3CFA74790E44228875DE763EA735284E990D7C313181EEBC7854A2753CCC7AA8D66B50CDA2FA06513A49EBF0F27094547B5F2C16CB936k8I" TargetMode="External"/><Relationship Id="rId5" Type="http://schemas.openxmlformats.org/officeDocument/2006/relationships/hyperlink" Target="consultantplus://offline/ref=CB56C3CFA74790E44228875DE763EA735284E990D7C313181EEBC7854A2753CCC7AA8D66B50CDA2EA66513A49EBF0F27094547B5F2C16CB936k8I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CB56C3CFA74790E44228875DE763EA735288E899DBC113181EEBC7854A2753CCC7AA8D66B50CDB28A26513A49EBF0F27094547B5F2C16CB936k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56C3CFA74790E44228875DE763EA735288E899DBC113181EEBC7854A2753CCC7AA8D66B50CDA27A56513A49EBF0F27094547B5F2C16CB936k8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Елена Владимировна</dc:creator>
  <cp:lastModifiedBy>Ефремова Елена Владимировна</cp:lastModifiedBy>
  <cp:revision>1</cp:revision>
  <dcterms:created xsi:type="dcterms:W3CDTF">2022-03-04T08:36:00Z</dcterms:created>
  <dcterms:modified xsi:type="dcterms:W3CDTF">2022-03-04T08:37:00Z</dcterms:modified>
</cp:coreProperties>
</file>